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47" w:rsidRPr="00E51D47" w:rsidRDefault="00C44912" w:rsidP="00AC7E3D">
      <w:pPr>
        <w:spacing w:after="0" w:line="240" w:lineRule="auto"/>
        <w:rPr>
          <w:b/>
          <w:sz w:val="28"/>
          <w:szCs w:val="28"/>
        </w:rPr>
      </w:pPr>
      <w:r>
        <w:rPr>
          <w:b/>
          <w:sz w:val="28"/>
          <w:szCs w:val="28"/>
        </w:rPr>
        <w:t>S</w:t>
      </w:r>
      <w:r w:rsidR="00E51D47" w:rsidRPr="00E51D47">
        <w:rPr>
          <w:b/>
          <w:sz w:val="28"/>
          <w:szCs w:val="28"/>
        </w:rPr>
        <w:t xml:space="preserve">TAGE </w:t>
      </w:r>
      <w:r w:rsidR="007740D9">
        <w:rPr>
          <w:b/>
          <w:sz w:val="28"/>
          <w:szCs w:val="28"/>
        </w:rPr>
        <w:t>3</w:t>
      </w:r>
      <w:r w:rsidR="00E51D47" w:rsidRPr="00E51D47">
        <w:rPr>
          <w:b/>
          <w:sz w:val="28"/>
          <w:szCs w:val="28"/>
        </w:rPr>
        <w:t xml:space="preserve"> COMPLAINT FORM</w:t>
      </w:r>
    </w:p>
    <w:p w:rsidR="00436DC7" w:rsidRDefault="00436DC7" w:rsidP="00AC7E3D">
      <w:pPr>
        <w:spacing w:after="0" w:line="240" w:lineRule="auto"/>
      </w:pPr>
    </w:p>
    <w:p w:rsidR="0001646C" w:rsidRDefault="0001646C" w:rsidP="00AC7E3D">
      <w:pPr>
        <w:spacing w:after="0" w:line="240" w:lineRule="auto"/>
      </w:pPr>
      <w:r>
        <w:t xml:space="preserve">Please read the University’s full procedure before you complete this form. You must have submitted a </w:t>
      </w:r>
      <w:r w:rsidRPr="0001646C">
        <w:rPr>
          <w:b/>
        </w:rPr>
        <w:t>STAGE 2 COMPLAINT FORM</w:t>
      </w:r>
      <w:r>
        <w:t xml:space="preserve"> before submitting this </w:t>
      </w:r>
      <w:r w:rsidRPr="0001646C">
        <w:rPr>
          <w:b/>
        </w:rPr>
        <w:t>STAGE 3 COMPLAINT FORM</w:t>
      </w:r>
      <w:r>
        <w:t xml:space="preserve">. If you do not complete all parts of the form, or fail to enclose all relevant documents, the investigation into your Stage 3 Complaint may be delayed. </w:t>
      </w:r>
    </w:p>
    <w:p w:rsidR="0019058E" w:rsidRDefault="0019058E" w:rsidP="00AC7E3D">
      <w:pPr>
        <w:spacing w:after="0" w:line="240" w:lineRule="auto"/>
      </w:pPr>
    </w:p>
    <w:tbl>
      <w:tblPr>
        <w:tblStyle w:val="TableGrid"/>
        <w:tblW w:w="0" w:type="auto"/>
        <w:tblLook w:val="04A0" w:firstRow="1" w:lastRow="0" w:firstColumn="1" w:lastColumn="0" w:noHBand="0" w:noVBand="1"/>
      </w:tblPr>
      <w:tblGrid>
        <w:gridCol w:w="2405"/>
        <w:gridCol w:w="6611"/>
      </w:tblGrid>
      <w:tr w:rsidR="0019058E" w:rsidTr="0001646C">
        <w:tc>
          <w:tcPr>
            <w:tcW w:w="2405" w:type="dxa"/>
          </w:tcPr>
          <w:p w:rsidR="0019058E" w:rsidRPr="0019058E" w:rsidRDefault="0019058E" w:rsidP="00AC7E3D">
            <w:pPr>
              <w:rPr>
                <w:b/>
              </w:rPr>
            </w:pPr>
            <w:r w:rsidRPr="0019058E">
              <w:rPr>
                <w:b/>
              </w:rPr>
              <w:t>Name:</w:t>
            </w:r>
          </w:p>
          <w:p w:rsidR="0019058E" w:rsidRPr="0019058E" w:rsidRDefault="0019058E" w:rsidP="00AC7E3D">
            <w:pPr>
              <w:rPr>
                <w:b/>
              </w:rPr>
            </w:pPr>
          </w:p>
        </w:tc>
        <w:tc>
          <w:tcPr>
            <w:tcW w:w="6611" w:type="dxa"/>
          </w:tcPr>
          <w:p w:rsidR="0019058E" w:rsidRDefault="0019058E" w:rsidP="00AC7E3D"/>
        </w:tc>
      </w:tr>
      <w:tr w:rsidR="0019058E" w:rsidTr="0001646C">
        <w:tc>
          <w:tcPr>
            <w:tcW w:w="2405" w:type="dxa"/>
          </w:tcPr>
          <w:p w:rsidR="0019058E" w:rsidRPr="0019058E" w:rsidRDefault="0001646C" w:rsidP="00AC7E3D">
            <w:pPr>
              <w:rPr>
                <w:b/>
              </w:rPr>
            </w:pPr>
            <w:r>
              <w:rPr>
                <w:b/>
              </w:rPr>
              <w:t xml:space="preserve">University </w:t>
            </w:r>
            <w:r w:rsidR="0019058E" w:rsidRPr="0019058E">
              <w:rPr>
                <w:b/>
              </w:rPr>
              <w:t>ID number:</w:t>
            </w:r>
          </w:p>
          <w:p w:rsidR="0019058E" w:rsidRPr="0019058E" w:rsidRDefault="0019058E" w:rsidP="00AC7E3D">
            <w:pPr>
              <w:rPr>
                <w:b/>
              </w:rPr>
            </w:pPr>
          </w:p>
        </w:tc>
        <w:tc>
          <w:tcPr>
            <w:tcW w:w="6611" w:type="dxa"/>
          </w:tcPr>
          <w:p w:rsidR="0019058E" w:rsidRDefault="0019058E" w:rsidP="00AC7E3D"/>
        </w:tc>
      </w:tr>
      <w:tr w:rsidR="0019058E" w:rsidTr="0001646C">
        <w:tc>
          <w:tcPr>
            <w:tcW w:w="2405" w:type="dxa"/>
          </w:tcPr>
          <w:p w:rsidR="0019058E" w:rsidRPr="0019058E" w:rsidRDefault="0019058E" w:rsidP="00AC7E3D">
            <w:pPr>
              <w:rPr>
                <w:b/>
              </w:rPr>
            </w:pPr>
            <w:r w:rsidRPr="0019058E">
              <w:rPr>
                <w:b/>
              </w:rPr>
              <w:t>Course:</w:t>
            </w:r>
          </w:p>
          <w:p w:rsidR="0019058E" w:rsidRPr="0019058E" w:rsidRDefault="0019058E" w:rsidP="00AC7E3D">
            <w:pPr>
              <w:rPr>
                <w:b/>
              </w:rPr>
            </w:pPr>
          </w:p>
        </w:tc>
        <w:tc>
          <w:tcPr>
            <w:tcW w:w="6611" w:type="dxa"/>
          </w:tcPr>
          <w:p w:rsidR="0019058E" w:rsidRDefault="0019058E" w:rsidP="00AC7E3D"/>
        </w:tc>
      </w:tr>
      <w:tr w:rsidR="006A34D3" w:rsidTr="0001646C">
        <w:tc>
          <w:tcPr>
            <w:tcW w:w="2405" w:type="dxa"/>
          </w:tcPr>
          <w:p w:rsidR="006A34D3" w:rsidRDefault="006A34D3" w:rsidP="00AC7E3D">
            <w:pPr>
              <w:rPr>
                <w:b/>
              </w:rPr>
            </w:pPr>
            <w:r>
              <w:rPr>
                <w:b/>
              </w:rPr>
              <w:t>Phone Number:</w:t>
            </w:r>
          </w:p>
          <w:p w:rsidR="006A34D3" w:rsidRPr="0019058E" w:rsidRDefault="006A34D3" w:rsidP="00AC7E3D">
            <w:pPr>
              <w:rPr>
                <w:b/>
              </w:rPr>
            </w:pPr>
          </w:p>
        </w:tc>
        <w:tc>
          <w:tcPr>
            <w:tcW w:w="6611" w:type="dxa"/>
          </w:tcPr>
          <w:p w:rsidR="006A34D3" w:rsidRDefault="006A34D3" w:rsidP="00AC7E3D"/>
        </w:tc>
      </w:tr>
    </w:tbl>
    <w:p w:rsidR="002378EA" w:rsidRDefault="002378EA" w:rsidP="00AC7E3D">
      <w:pPr>
        <w:spacing w:after="0" w:line="240" w:lineRule="auto"/>
      </w:pPr>
    </w:p>
    <w:p w:rsidR="002378EA" w:rsidRDefault="007740D9" w:rsidP="00AC7E3D">
      <w:pPr>
        <w:spacing w:after="0" w:line="240" w:lineRule="auto"/>
        <w:rPr>
          <w:b/>
        </w:rPr>
      </w:pPr>
      <w:r>
        <w:rPr>
          <w:b/>
        </w:rPr>
        <w:t>Grounds for Review</w:t>
      </w:r>
    </w:p>
    <w:p w:rsidR="007740D9" w:rsidRDefault="007740D9" w:rsidP="00AC7E3D">
      <w:pPr>
        <w:spacing w:after="0" w:line="240" w:lineRule="auto"/>
        <w:rPr>
          <w:b/>
        </w:rPr>
      </w:pPr>
    </w:p>
    <w:p w:rsidR="007740D9" w:rsidRDefault="007740D9" w:rsidP="00AC7E3D">
      <w:pPr>
        <w:spacing w:after="0" w:line="240" w:lineRule="auto"/>
      </w:pPr>
      <w:r>
        <w:t>Which of the following are the grounds for review (You may cross more than one box)?</w:t>
      </w:r>
    </w:p>
    <w:p w:rsidR="007740D9" w:rsidRDefault="007740D9" w:rsidP="00AC7E3D">
      <w:pPr>
        <w:spacing w:after="0" w:line="240" w:lineRule="auto"/>
      </w:pPr>
    </w:p>
    <w:p w:rsidR="007740D9" w:rsidRDefault="002B3E74" w:rsidP="00AC7E3D">
      <w:pPr>
        <w:spacing w:after="0" w:line="240" w:lineRule="auto"/>
      </w:pPr>
      <w:sdt>
        <w:sdtPr>
          <w:id w:val="1135212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740D9">
        <w:t xml:space="preserve"> </w:t>
      </w:r>
      <w:r w:rsidR="007740D9">
        <w:tab/>
        <w:t>The University made a material error in following its complaint procedure</w:t>
      </w:r>
    </w:p>
    <w:p w:rsidR="007740D9" w:rsidRDefault="002B3E74" w:rsidP="00AC7E3D">
      <w:pPr>
        <w:spacing w:after="0" w:line="240" w:lineRule="auto"/>
      </w:pPr>
      <w:sdt>
        <w:sdtPr>
          <w:id w:val="-1214038329"/>
          <w14:checkbox>
            <w14:checked w14:val="0"/>
            <w14:checkedState w14:val="2612" w14:font="MS Gothic"/>
            <w14:uncheckedState w14:val="2610" w14:font="MS Gothic"/>
          </w14:checkbox>
        </w:sdtPr>
        <w:sdtEndPr/>
        <w:sdtContent>
          <w:r w:rsidR="007740D9">
            <w:rPr>
              <w:rFonts w:ascii="MS Gothic" w:eastAsia="MS Gothic" w:hAnsi="MS Gothic" w:hint="eastAsia"/>
            </w:rPr>
            <w:t>☐</w:t>
          </w:r>
        </w:sdtContent>
      </w:sdt>
      <w:r w:rsidR="007740D9">
        <w:tab/>
        <w:t>The outcome was unreasonable in light of the evidence available</w:t>
      </w:r>
    </w:p>
    <w:p w:rsidR="007740D9" w:rsidRDefault="002B3E74" w:rsidP="00AC7E3D">
      <w:pPr>
        <w:spacing w:after="0" w:line="240" w:lineRule="auto"/>
      </w:pPr>
      <w:sdt>
        <w:sdtPr>
          <w:id w:val="-1682955606"/>
          <w14:checkbox>
            <w14:checked w14:val="0"/>
            <w14:checkedState w14:val="2612" w14:font="MS Gothic"/>
            <w14:uncheckedState w14:val="2610" w14:font="MS Gothic"/>
          </w14:checkbox>
        </w:sdtPr>
        <w:sdtEndPr/>
        <w:sdtContent>
          <w:r w:rsidR="007740D9">
            <w:rPr>
              <w:rFonts w:ascii="MS Gothic" w:eastAsia="MS Gothic" w:hAnsi="MS Gothic" w:hint="eastAsia"/>
            </w:rPr>
            <w:t>☐</w:t>
          </w:r>
        </w:sdtContent>
      </w:sdt>
      <w:r w:rsidR="007740D9">
        <w:t xml:space="preserve"> </w:t>
      </w:r>
      <w:r w:rsidR="007740D9">
        <w:tab/>
        <w:t xml:space="preserve">New material evidence has come to light which you were unable, for valid reasons, to </w:t>
      </w:r>
      <w:r w:rsidR="007740D9">
        <w:tab/>
        <w:t>provide earlier in the process.</w:t>
      </w:r>
    </w:p>
    <w:p w:rsidR="007740D9" w:rsidRPr="007740D9" w:rsidRDefault="007740D9" w:rsidP="00AC7E3D">
      <w:pPr>
        <w:spacing w:after="0" w:line="240" w:lineRule="auto"/>
      </w:pPr>
    </w:p>
    <w:p w:rsidR="002378EA" w:rsidRDefault="002378EA" w:rsidP="00AC7E3D">
      <w:pPr>
        <w:spacing w:after="0" w:line="240" w:lineRule="auto"/>
      </w:pPr>
    </w:p>
    <w:p w:rsidR="006A34D3" w:rsidRDefault="007740D9" w:rsidP="00AC7E3D">
      <w:pPr>
        <w:spacing w:after="0" w:line="240" w:lineRule="auto"/>
        <w:rPr>
          <w:b/>
        </w:rPr>
      </w:pPr>
      <w:r>
        <w:rPr>
          <w:b/>
        </w:rPr>
        <w:t>Comments</w:t>
      </w:r>
    </w:p>
    <w:p w:rsidR="007740D9" w:rsidRPr="007740D9" w:rsidRDefault="007740D9" w:rsidP="00AC7E3D">
      <w:pPr>
        <w:spacing w:after="0" w:line="240" w:lineRule="auto"/>
      </w:pPr>
      <w:r>
        <w:t xml:space="preserve">Explain briefly why you have crossed the box(es) above. If </w:t>
      </w:r>
      <w:bookmarkStart w:id="0" w:name="_GoBack"/>
      <w:bookmarkEnd w:id="0"/>
      <w:r>
        <w:t>you have any new material evidence, please refer to this and attach a copy when you submit this form.</w:t>
      </w:r>
    </w:p>
    <w:p w:rsidR="006A34D3" w:rsidRPr="0019058E" w:rsidRDefault="006A34D3" w:rsidP="006A34D3">
      <w:pPr>
        <w:spacing w:after="0" w:line="240" w:lineRule="auto"/>
        <w:rPr>
          <w:b/>
        </w:rPr>
      </w:pPr>
    </w:p>
    <w:tbl>
      <w:tblPr>
        <w:tblStyle w:val="TableGrid"/>
        <w:tblW w:w="0" w:type="auto"/>
        <w:tblLook w:val="04A0" w:firstRow="1" w:lastRow="0" w:firstColumn="1" w:lastColumn="0" w:noHBand="0" w:noVBand="1"/>
      </w:tblPr>
      <w:tblGrid>
        <w:gridCol w:w="9016"/>
      </w:tblGrid>
      <w:tr w:rsidR="006A34D3" w:rsidTr="007740D9">
        <w:trPr>
          <w:trHeight w:val="2795"/>
        </w:trPr>
        <w:tc>
          <w:tcPr>
            <w:tcW w:w="9016" w:type="dxa"/>
          </w:tcPr>
          <w:p w:rsidR="006A34D3" w:rsidRDefault="006A34D3" w:rsidP="00AB7715"/>
          <w:p w:rsidR="006A34D3" w:rsidRDefault="006A34D3" w:rsidP="00AB7715"/>
          <w:p w:rsidR="006A34D3" w:rsidRDefault="006A34D3" w:rsidP="00AB7715"/>
          <w:p w:rsidR="006A34D3" w:rsidRDefault="006A34D3" w:rsidP="00AB7715"/>
        </w:tc>
      </w:tr>
    </w:tbl>
    <w:p w:rsidR="006A34D3" w:rsidRDefault="006A34D3" w:rsidP="006A34D3">
      <w:pPr>
        <w:spacing w:after="0" w:line="240" w:lineRule="auto"/>
      </w:pPr>
    </w:p>
    <w:p w:rsidR="0019058E" w:rsidRDefault="0019058E" w:rsidP="00AC7E3D">
      <w:pPr>
        <w:spacing w:after="0" w:line="240" w:lineRule="auto"/>
      </w:pPr>
    </w:p>
    <w:p w:rsidR="00C93B83" w:rsidRPr="003A4BCE" w:rsidRDefault="00C93B83" w:rsidP="00AC7E3D">
      <w:pPr>
        <w:shd w:val="clear" w:color="auto" w:fill="FFFFFF"/>
        <w:spacing w:after="0" w:line="240" w:lineRule="auto"/>
        <w:rPr>
          <w:rFonts w:cstheme="minorHAnsi"/>
          <w:color w:val="222222"/>
          <w:sz w:val="28"/>
          <w:szCs w:val="28"/>
        </w:rPr>
      </w:pPr>
      <w:r w:rsidRPr="003A4BCE">
        <w:rPr>
          <w:rFonts w:cstheme="minorHAnsi"/>
          <w:b/>
          <w:bCs/>
          <w:color w:val="222222"/>
          <w:sz w:val="28"/>
          <w:szCs w:val="28"/>
        </w:rPr>
        <w:t>Confidentiality and Disclosure: </w:t>
      </w:r>
    </w:p>
    <w:p w:rsidR="00AC7E3D" w:rsidRDefault="00AC7E3D" w:rsidP="00AC7E3D">
      <w:pPr>
        <w:shd w:val="clear" w:color="auto" w:fill="FFFFFF"/>
        <w:spacing w:after="0" w:line="240" w:lineRule="auto"/>
        <w:rPr>
          <w:rFonts w:cstheme="minorHAnsi"/>
          <w:color w:val="222222"/>
        </w:rPr>
      </w:pPr>
    </w:p>
    <w:p w:rsidR="00C93B83" w:rsidRDefault="00C93B83" w:rsidP="00AC7E3D">
      <w:pPr>
        <w:shd w:val="clear" w:color="auto" w:fill="FFFFFF"/>
        <w:spacing w:after="0" w:line="240" w:lineRule="auto"/>
        <w:rPr>
          <w:rFonts w:cstheme="minorHAnsi"/>
          <w:color w:val="222222"/>
        </w:rPr>
      </w:pPr>
      <w:r w:rsidRPr="00920795">
        <w:rPr>
          <w:rFonts w:cstheme="minorHAnsi"/>
          <w:color w:val="222222"/>
        </w:rPr>
        <w:lastRenderedPageBreak/>
        <w:t>If you have included any sensitive information about yourself in your complaint or in your evidence, it may be necessary to share this with those involved in processing and considering your complaint. This is known as Special Category Data and covers, but is not limited to, the following types of data:</w:t>
      </w:r>
    </w:p>
    <w:p w:rsidR="00AC7E3D" w:rsidRPr="00920795" w:rsidRDefault="00AC7E3D" w:rsidP="00AC7E3D">
      <w:pPr>
        <w:shd w:val="clear" w:color="auto" w:fill="FFFFFF"/>
        <w:spacing w:after="0" w:line="240" w:lineRule="auto"/>
        <w:rPr>
          <w:rFonts w:cstheme="minorHAnsi"/>
          <w:color w:val="222222"/>
        </w:rPr>
      </w:pPr>
    </w:p>
    <w:p w:rsidR="00C93B83" w:rsidRPr="00DF16E3"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DF16E3">
        <w:rPr>
          <w:rFonts w:asciiTheme="minorHAnsi" w:hAnsiTheme="minorHAnsi" w:cstheme="minorHAnsi"/>
          <w:color w:val="222222"/>
          <w:sz w:val="22"/>
          <w:szCs w:val="22"/>
        </w:rPr>
        <w:t>race</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ethnic origin</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politics</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religion</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trade union membership</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genetics</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biometrics (where used for ID purposes)</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health</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sex life</w:t>
      </w:r>
    </w:p>
    <w:p w:rsidR="00C93B83" w:rsidRPr="00920795" w:rsidRDefault="00C93B83" w:rsidP="00AC7E3D">
      <w:pPr>
        <w:pStyle w:val="ListParagraph"/>
        <w:numPr>
          <w:ilvl w:val="0"/>
          <w:numId w:val="1"/>
        </w:numPr>
        <w:shd w:val="clear" w:color="auto" w:fill="FFFFFF"/>
        <w:rPr>
          <w:rFonts w:asciiTheme="minorHAnsi" w:hAnsiTheme="minorHAnsi" w:cstheme="minorHAnsi"/>
          <w:color w:val="222222"/>
          <w:sz w:val="22"/>
          <w:szCs w:val="22"/>
        </w:rPr>
      </w:pPr>
      <w:r w:rsidRPr="00920795">
        <w:rPr>
          <w:rFonts w:asciiTheme="minorHAnsi" w:hAnsiTheme="minorHAnsi" w:cstheme="minorHAnsi"/>
          <w:color w:val="222222"/>
          <w:sz w:val="22"/>
          <w:szCs w:val="22"/>
        </w:rPr>
        <w:t>sexual orientation</w:t>
      </w:r>
    </w:p>
    <w:p w:rsidR="00AC7E3D" w:rsidRDefault="00AC7E3D" w:rsidP="00AC7E3D">
      <w:pPr>
        <w:shd w:val="clear" w:color="auto" w:fill="FFFFFF"/>
        <w:spacing w:after="0" w:line="240" w:lineRule="auto"/>
        <w:rPr>
          <w:rFonts w:cstheme="minorHAnsi"/>
          <w:color w:val="222222"/>
        </w:rPr>
      </w:pP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 xml:space="preserve">The University will require your explicit consent to be able to receive and use your Special Category Data as it will be necessary for the information to be shared with those involved in considering your complaint. </w:t>
      </w: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  </w:t>
      </w: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 xml:space="preserve">The outcome of the complaint will be recorded in the case coordinator’s database by the case coordinator and will be shared only with members of staff where the outcome requires an action on their part.  However, these individuals will not have access to the detail behind this decision. The University also compiles statistics on complaints but these are anonymised so that individuals cannot be identified. </w:t>
      </w: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 </w:t>
      </w: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Your Special Category data will be treated as confidential by all members of staff who receive it in line with the process set out above. In addition to any staff named in your complaint, the information will also be seen by the case coordinator, the Head of Legal Services, Governance and Risk, the Investigating Officer, the Dean of your Faculty and the Vice Chancellor or nominee. The Special Category data will be stored and processed in accordance with the University’s Data Protection Policy and will be destroyed one year after you have left the University.</w:t>
      </w:r>
    </w:p>
    <w:p w:rsidR="00C93B83" w:rsidRPr="00920795" w:rsidRDefault="00C93B83" w:rsidP="00AC7E3D">
      <w:pPr>
        <w:shd w:val="clear" w:color="auto" w:fill="FFFFFF"/>
        <w:spacing w:after="0" w:line="240" w:lineRule="auto"/>
        <w:rPr>
          <w:rFonts w:cstheme="minorHAnsi"/>
          <w:color w:val="222222"/>
        </w:rPr>
      </w:pPr>
      <w:r w:rsidRPr="00920795">
        <w:rPr>
          <w:rFonts w:cstheme="minorHAnsi"/>
          <w:color w:val="222222"/>
        </w:rPr>
        <w:t> </w:t>
      </w:r>
    </w:p>
    <w:p w:rsidR="00C93B83" w:rsidRPr="00920795" w:rsidRDefault="00C93B83" w:rsidP="00AC7E3D">
      <w:pPr>
        <w:shd w:val="clear" w:color="auto" w:fill="FFFFFF"/>
        <w:spacing w:after="0" w:line="240" w:lineRule="auto"/>
        <w:rPr>
          <w:rFonts w:cstheme="minorHAnsi"/>
          <w:color w:val="222222"/>
        </w:rPr>
      </w:pPr>
      <w:r w:rsidRPr="00920795">
        <w:rPr>
          <w:rFonts w:cstheme="minorHAnsi"/>
          <w:b/>
          <w:bCs/>
          <w:color w:val="222222"/>
        </w:rPr>
        <w:t xml:space="preserve">In order to process the </w:t>
      </w:r>
      <w:proofErr w:type="gramStart"/>
      <w:r w:rsidRPr="00920795">
        <w:rPr>
          <w:rFonts w:cstheme="minorHAnsi"/>
          <w:b/>
          <w:bCs/>
          <w:color w:val="222222"/>
        </w:rPr>
        <w:t>information</w:t>
      </w:r>
      <w:proofErr w:type="gramEnd"/>
      <w:r w:rsidRPr="00920795">
        <w:rPr>
          <w:rFonts w:cstheme="minorHAnsi"/>
          <w:b/>
          <w:bCs/>
          <w:color w:val="222222"/>
        </w:rPr>
        <w:t xml:space="preserve"> you have provided, your consent is required.</w:t>
      </w:r>
      <w:r w:rsidRPr="00920795">
        <w:rPr>
          <w:rFonts w:cstheme="minorHAnsi"/>
          <w:color w:val="222222"/>
        </w:rPr>
        <w:t xml:space="preserve"> Please note you can withdraw your consent at any time by contacting the caseworker. </w:t>
      </w:r>
    </w:p>
    <w:p w:rsidR="00C93B83" w:rsidRPr="00920795" w:rsidRDefault="00C93B83" w:rsidP="00AC7E3D">
      <w:pPr>
        <w:spacing w:after="0" w:line="240" w:lineRule="auto"/>
        <w:jc w:val="both"/>
        <w:rPr>
          <w:rFonts w:cstheme="minorHAnsi"/>
        </w:rPr>
      </w:pPr>
    </w:p>
    <w:p w:rsidR="00C93B83" w:rsidRPr="00920795" w:rsidRDefault="002B3E74" w:rsidP="00AC7E3D">
      <w:pPr>
        <w:spacing w:after="0" w:line="240" w:lineRule="auto"/>
        <w:jc w:val="both"/>
        <w:rPr>
          <w:rFonts w:cstheme="minorHAnsi"/>
        </w:rPr>
      </w:pPr>
      <w:sdt>
        <w:sdtPr>
          <w:rPr>
            <w:rFonts w:cstheme="minorHAnsi"/>
            <w:b/>
          </w:rPr>
          <w:id w:val="-2091615728"/>
          <w14:checkbox>
            <w14:checked w14:val="0"/>
            <w14:checkedState w14:val="2612" w14:font="MS Gothic"/>
            <w14:uncheckedState w14:val="2610" w14:font="MS Gothic"/>
          </w14:checkbox>
        </w:sdtPr>
        <w:sdtEndPr/>
        <w:sdtContent>
          <w:r w:rsidR="007740D9">
            <w:rPr>
              <w:rFonts w:ascii="MS Gothic" w:eastAsia="MS Gothic" w:hAnsi="MS Gothic" w:cstheme="minorHAnsi" w:hint="eastAsia"/>
              <w:b/>
            </w:rPr>
            <w:t>☐</w:t>
          </w:r>
        </w:sdtContent>
      </w:sdt>
      <w:r w:rsidR="007740D9">
        <w:rPr>
          <w:rFonts w:cstheme="minorHAnsi"/>
          <w:b/>
        </w:rPr>
        <w:t xml:space="preserve"> </w:t>
      </w:r>
      <w:r w:rsidR="007740D9">
        <w:rPr>
          <w:rFonts w:cstheme="minorHAnsi"/>
          <w:b/>
        </w:rPr>
        <w:tab/>
      </w:r>
      <w:r w:rsidR="00C93B83" w:rsidRPr="004876A5">
        <w:rPr>
          <w:rFonts w:cstheme="minorHAnsi"/>
          <w:b/>
        </w:rPr>
        <w:t>Please tick</w:t>
      </w:r>
      <w:r w:rsidR="00AC7E3D" w:rsidRPr="004876A5">
        <w:rPr>
          <w:rFonts w:cstheme="minorHAnsi"/>
          <w:b/>
        </w:rPr>
        <w:t>/cross the box</w:t>
      </w:r>
      <w:r w:rsidR="00C93B83" w:rsidRPr="004876A5">
        <w:rPr>
          <w:rFonts w:cstheme="minorHAnsi"/>
          <w:b/>
        </w:rPr>
        <w:t xml:space="preserve"> to give consent for the University to process the data you have </w:t>
      </w:r>
      <w:r w:rsidR="007740D9">
        <w:rPr>
          <w:rFonts w:cstheme="minorHAnsi"/>
          <w:b/>
        </w:rPr>
        <w:tab/>
      </w:r>
      <w:r w:rsidR="00C93B83" w:rsidRPr="004876A5">
        <w:rPr>
          <w:rFonts w:cstheme="minorHAnsi"/>
          <w:b/>
        </w:rPr>
        <w:t xml:space="preserve">provided as part of your appeal relating to you Special Category Data and to confirm that </w:t>
      </w:r>
      <w:r w:rsidR="007740D9">
        <w:rPr>
          <w:rFonts w:cstheme="minorHAnsi"/>
          <w:b/>
        </w:rPr>
        <w:tab/>
      </w:r>
      <w:r w:rsidR="00C93B83" w:rsidRPr="004876A5">
        <w:rPr>
          <w:rFonts w:cstheme="minorHAnsi"/>
          <w:b/>
        </w:rPr>
        <w:t xml:space="preserve">you understand that the processing may involve sharing your Special Category Data as set </w:t>
      </w:r>
      <w:r w:rsidR="007740D9">
        <w:rPr>
          <w:rFonts w:cstheme="minorHAnsi"/>
          <w:b/>
        </w:rPr>
        <w:tab/>
      </w:r>
      <w:r w:rsidR="00C93B83" w:rsidRPr="004876A5">
        <w:rPr>
          <w:rFonts w:cstheme="minorHAnsi"/>
          <w:b/>
        </w:rPr>
        <w:t>out above/</w:t>
      </w:r>
    </w:p>
    <w:p w:rsidR="00721F1C" w:rsidRDefault="00721F1C" w:rsidP="0019058E"/>
    <w:p w:rsidR="009F3EB4" w:rsidRDefault="007740D9" w:rsidP="0019058E">
      <w:pPr>
        <w:rPr>
          <w:b/>
        </w:rPr>
      </w:pPr>
      <w:r>
        <w:rPr>
          <w:b/>
        </w:rPr>
        <w:t>What to do once you have completed this form</w:t>
      </w:r>
    </w:p>
    <w:p w:rsidR="007740D9" w:rsidRDefault="007740D9" w:rsidP="0019058E">
      <w:r>
        <w:t>Please send this form and any supporting documentation (</w:t>
      </w:r>
      <w:proofErr w:type="spellStart"/>
      <w:r>
        <w:t>eg.</w:t>
      </w:r>
      <w:proofErr w:type="spellEnd"/>
      <w:r>
        <w:t xml:space="preserve"> Evidence) to </w:t>
      </w:r>
      <w:hyperlink r:id="rId7" w:history="1">
        <w:r w:rsidRPr="00931334">
          <w:rPr>
            <w:rStyle w:val="Hyperlink"/>
          </w:rPr>
          <w:t>casewroker@hope.ac.uk</w:t>
        </w:r>
      </w:hyperlink>
      <w:r>
        <w:t>.</w:t>
      </w:r>
    </w:p>
    <w:p w:rsidR="007740D9" w:rsidRPr="007740D9" w:rsidRDefault="007740D9" w:rsidP="0019058E">
      <w:r>
        <w:lastRenderedPageBreak/>
        <w:t>If you have a disability that requires reasonable adjustments to accommodate your needs during the appeal process, please provide details below:</w:t>
      </w:r>
    </w:p>
    <w:p w:rsidR="00715CB4" w:rsidRDefault="00715CB4" w:rsidP="0019058E"/>
    <w:tbl>
      <w:tblPr>
        <w:tblStyle w:val="TableGrid"/>
        <w:tblW w:w="0" w:type="auto"/>
        <w:tblLook w:val="04A0" w:firstRow="1" w:lastRow="0" w:firstColumn="1" w:lastColumn="0" w:noHBand="0" w:noVBand="1"/>
      </w:tblPr>
      <w:tblGrid>
        <w:gridCol w:w="9016"/>
      </w:tblGrid>
      <w:tr w:rsidR="00715CB4" w:rsidTr="00715CB4">
        <w:tc>
          <w:tcPr>
            <w:tcW w:w="9016" w:type="dxa"/>
          </w:tcPr>
          <w:p w:rsidR="00715CB4" w:rsidRDefault="00715CB4" w:rsidP="0019058E"/>
          <w:p w:rsidR="00715CB4" w:rsidRDefault="00715CB4" w:rsidP="0019058E"/>
          <w:p w:rsidR="00715CB4" w:rsidRDefault="00715CB4" w:rsidP="0019058E"/>
        </w:tc>
      </w:tr>
    </w:tbl>
    <w:p w:rsidR="00715CB4" w:rsidRDefault="00715CB4" w:rsidP="0019058E"/>
    <w:p w:rsidR="00715CB4" w:rsidRDefault="00715CB4" w:rsidP="0019058E"/>
    <w:p w:rsidR="00721F1C" w:rsidRDefault="00721F1C" w:rsidP="0019058E"/>
    <w:tbl>
      <w:tblPr>
        <w:tblStyle w:val="TableGrid"/>
        <w:tblW w:w="0" w:type="auto"/>
        <w:tblLook w:val="04A0" w:firstRow="1" w:lastRow="0" w:firstColumn="1" w:lastColumn="0" w:noHBand="0" w:noVBand="1"/>
      </w:tblPr>
      <w:tblGrid>
        <w:gridCol w:w="846"/>
        <w:gridCol w:w="1843"/>
      </w:tblGrid>
      <w:tr w:rsidR="0019058E" w:rsidTr="0019058E">
        <w:tc>
          <w:tcPr>
            <w:tcW w:w="846" w:type="dxa"/>
          </w:tcPr>
          <w:p w:rsidR="0019058E" w:rsidRDefault="0019058E" w:rsidP="0019058E">
            <w:r>
              <w:t>Date:</w:t>
            </w:r>
          </w:p>
          <w:p w:rsidR="0019058E" w:rsidRDefault="0019058E" w:rsidP="003E730D"/>
        </w:tc>
        <w:tc>
          <w:tcPr>
            <w:tcW w:w="1843" w:type="dxa"/>
          </w:tcPr>
          <w:p w:rsidR="0019058E" w:rsidRDefault="0019058E" w:rsidP="003E730D"/>
        </w:tc>
      </w:tr>
    </w:tbl>
    <w:p w:rsidR="002378EA" w:rsidRDefault="002378EA" w:rsidP="007232FD"/>
    <w:sectPr w:rsidR="002378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81" w:rsidRDefault="003A1B81" w:rsidP="00E51D47">
      <w:pPr>
        <w:spacing w:after="0" w:line="240" w:lineRule="auto"/>
      </w:pPr>
      <w:r>
        <w:separator/>
      </w:r>
    </w:p>
  </w:endnote>
  <w:endnote w:type="continuationSeparator" w:id="0">
    <w:p w:rsidR="003A1B81" w:rsidRDefault="003A1B81" w:rsidP="00E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81" w:rsidRDefault="003A1B81" w:rsidP="00E51D47">
      <w:pPr>
        <w:spacing w:after="0" w:line="240" w:lineRule="auto"/>
      </w:pPr>
      <w:r>
        <w:separator/>
      </w:r>
    </w:p>
  </w:footnote>
  <w:footnote w:type="continuationSeparator" w:id="0">
    <w:p w:rsidR="003A1B81" w:rsidRDefault="003A1B81" w:rsidP="00E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7" w:rsidRDefault="00E51D47">
    <w:pPr>
      <w:pStyle w:val="Header"/>
    </w:pPr>
    <w:r>
      <w:rPr>
        <w:noProof/>
        <w:lang w:eastAsia="en-GB"/>
      </w:rPr>
      <w:drawing>
        <wp:inline distT="0" distB="0" distL="0" distR="0" wp14:anchorId="6EB35615" wp14:editId="70FA5046">
          <wp:extent cx="24098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_Crest_CMYK_0811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1171575"/>
                  </a:xfrm>
                  <a:prstGeom prst="rect">
                    <a:avLst/>
                  </a:prstGeom>
                </pic:spPr>
              </pic:pic>
            </a:graphicData>
          </a:graphic>
        </wp:inline>
      </w:drawing>
    </w:r>
  </w:p>
  <w:p w:rsidR="00920795" w:rsidRDefault="00920795">
    <w:pPr>
      <w:pStyle w:val="Header"/>
    </w:pPr>
  </w:p>
  <w:p w:rsidR="00920795" w:rsidRDefault="00920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070"/>
    <w:multiLevelType w:val="hybridMultilevel"/>
    <w:tmpl w:val="1C5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47"/>
    <w:rsid w:val="0001646C"/>
    <w:rsid w:val="0019058E"/>
    <w:rsid w:val="001D11E4"/>
    <w:rsid w:val="002378EA"/>
    <w:rsid w:val="002B3E74"/>
    <w:rsid w:val="003A1B81"/>
    <w:rsid w:val="003A4BCE"/>
    <w:rsid w:val="00436DC7"/>
    <w:rsid w:val="004876A5"/>
    <w:rsid w:val="004B7F19"/>
    <w:rsid w:val="006A34D3"/>
    <w:rsid w:val="00715CB4"/>
    <w:rsid w:val="00721F1C"/>
    <w:rsid w:val="007232FD"/>
    <w:rsid w:val="007740D9"/>
    <w:rsid w:val="0083166B"/>
    <w:rsid w:val="00901BB1"/>
    <w:rsid w:val="00920795"/>
    <w:rsid w:val="009F3EB4"/>
    <w:rsid w:val="00AC7E3D"/>
    <w:rsid w:val="00C44912"/>
    <w:rsid w:val="00C93B83"/>
    <w:rsid w:val="00D33A5A"/>
    <w:rsid w:val="00DE2D81"/>
    <w:rsid w:val="00DF16E3"/>
    <w:rsid w:val="00E51D47"/>
    <w:rsid w:val="00EA68AE"/>
    <w:rsid w:val="00FC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FED4"/>
  <w15:chartTrackingRefBased/>
  <w15:docId w15:val="{DFB0F68B-8F12-4018-939A-162C5E51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47"/>
  </w:style>
  <w:style w:type="paragraph" w:styleId="Footer">
    <w:name w:val="footer"/>
    <w:basedOn w:val="Normal"/>
    <w:link w:val="FooterChar"/>
    <w:uiPriority w:val="99"/>
    <w:unhideWhenUsed/>
    <w:rsid w:val="00E51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47"/>
  </w:style>
  <w:style w:type="table" w:styleId="TableGrid">
    <w:name w:val="Table Grid"/>
    <w:basedOn w:val="TableNormal"/>
    <w:uiPriority w:val="39"/>
    <w:rsid w:val="0019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B83"/>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5CB4"/>
    <w:rPr>
      <w:color w:val="0563C1" w:themeColor="hyperlink"/>
      <w:u w:val="single"/>
    </w:rPr>
  </w:style>
  <w:style w:type="character" w:styleId="UnresolvedMention">
    <w:name w:val="Unresolved Mention"/>
    <w:basedOn w:val="DefaultParagraphFont"/>
    <w:uiPriority w:val="99"/>
    <w:semiHidden/>
    <w:unhideWhenUsed/>
    <w:rsid w:val="0071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ewroker@ho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Dykins</dc:creator>
  <cp:keywords/>
  <dc:description/>
  <cp:lastModifiedBy>Derrick Dykins</cp:lastModifiedBy>
  <cp:revision>4</cp:revision>
  <dcterms:created xsi:type="dcterms:W3CDTF">2021-04-13T12:34:00Z</dcterms:created>
  <dcterms:modified xsi:type="dcterms:W3CDTF">2021-04-13T12:38:00Z</dcterms:modified>
</cp:coreProperties>
</file>